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BA" w:rsidRPr="00D6051D" w:rsidRDefault="00DE18BA" w:rsidP="00DE18BA">
      <w:pPr>
        <w:spacing w:line="360" w:lineRule="auto"/>
        <w:ind w:left="360"/>
        <w:rPr>
          <w:rFonts w:ascii="Trebuchet MS" w:hAnsi="Trebuchet MS"/>
          <w:b/>
        </w:rPr>
      </w:pPr>
      <w:r w:rsidRPr="00D6051D">
        <w:rPr>
          <w:rFonts w:ascii="Trebuchet MS" w:hAnsi="Trebuchet MS"/>
          <w:b/>
        </w:rPr>
        <w:t>Scotlan</w:t>
      </w:r>
      <w:r w:rsidR="002A39E9">
        <w:rPr>
          <w:rFonts w:ascii="Trebuchet MS" w:hAnsi="Trebuchet MS"/>
          <w:b/>
        </w:rPr>
        <w:t>d Sub-Committee Recommendations</w:t>
      </w:r>
      <w:bookmarkStart w:id="0" w:name="_GoBack"/>
      <w:bookmarkEnd w:id="0"/>
    </w:p>
    <w:p w:rsidR="00DE18BA" w:rsidRPr="00D6051D" w:rsidRDefault="00DE18BA" w:rsidP="00DE18BA">
      <w:pPr>
        <w:spacing w:line="360" w:lineRule="auto"/>
        <w:ind w:firstLine="360"/>
        <w:rPr>
          <w:rFonts w:ascii="Trebuchet MS" w:hAnsi="Trebuchet MS"/>
        </w:rPr>
      </w:pPr>
    </w:p>
    <w:p w:rsidR="00DE18BA" w:rsidRPr="00D6051D" w:rsidRDefault="00DE18BA" w:rsidP="00DE18BA">
      <w:pPr>
        <w:spacing w:line="360" w:lineRule="auto"/>
        <w:ind w:firstLine="360"/>
        <w:rPr>
          <w:rFonts w:ascii="Trebuchet MS" w:hAnsi="Trebuchet MS"/>
        </w:rPr>
      </w:pPr>
      <w:r w:rsidRPr="00D6051D">
        <w:rPr>
          <w:rFonts w:ascii="Trebuchet MS" w:hAnsi="Trebuchet MS"/>
        </w:rPr>
        <w:t xml:space="preserve">These are the actions which could make the most impact in ensuring the </w:t>
      </w:r>
    </w:p>
    <w:p w:rsidR="00DE18BA" w:rsidRPr="00D6051D" w:rsidRDefault="00B36615" w:rsidP="00DE18BA">
      <w:pPr>
        <w:spacing w:line="360" w:lineRule="auto"/>
        <w:ind w:firstLine="360"/>
        <w:rPr>
          <w:rFonts w:ascii="Trebuchet MS" w:hAnsi="Trebuchet MS"/>
        </w:rPr>
      </w:pPr>
      <w:r w:rsidRPr="00D6051D">
        <w:rPr>
          <w:rFonts w:ascii="Trebuchet MS" w:hAnsi="Trebuchet MS"/>
        </w:rPr>
        <w:t>sustainability</w:t>
      </w:r>
      <w:r w:rsidR="00DE18BA" w:rsidRPr="00D6051D">
        <w:rPr>
          <w:rFonts w:ascii="Trebuchet MS" w:hAnsi="Trebuchet MS"/>
        </w:rPr>
        <w:t xml:space="preserve"> of museums:</w:t>
      </w:r>
    </w:p>
    <w:p w:rsidR="00DE18BA" w:rsidRPr="00D6051D" w:rsidRDefault="00DE18BA" w:rsidP="00DE18BA">
      <w:pPr>
        <w:spacing w:line="360" w:lineRule="auto"/>
        <w:ind w:left="360"/>
        <w:rPr>
          <w:rFonts w:ascii="Trebuchet MS" w:hAnsi="Trebuchet MS"/>
        </w:rPr>
      </w:pPr>
    </w:p>
    <w:p w:rsidR="00DE18BA" w:rsidRPr="00D6051D" w:rsidRDefault="00DE18BA" w:rsidP="00DE18BA">
      <w:pPr>
        <w:pStyle w:val="ListParagraph"/>
        <w:numPr>
          <w:ilvl w:val="0"/>
          <w:numId w:val="1"/>
        </w:numPr>
        <w:spacing w:line="360" w:lineRule="auto"/>
        <w:rPr>
          <w:rFonts w:ascii="Trebuchet MS" w:hAnsi="Trebuchet MS"/>
        </w:rPr>
      </w:pPr>
      <w:r w:rsidRPr="00D6051D">
        <w:rPr>
          <w:rFonts w:ascii="Trebuchet MS" w:hAnsi="Trebuchet MS"/>
        </w:rPr>
        <w:t xml:space="preserve">Scottish Government’s strategic support for museums ought to continue with sector-wide consultation to ensure the National Strategy for Scotland’s Museums and Galleries’ alignment and synergy with the emerging Cultural Strategy.  </w:t>
      </w:r>
      <w:r w:rsidR="00B36615" w:rsidRPr="00D6051D">
        <w:rPr>
          <w:rFonts w:ascii="Trebuchet MS" w:hAnsi="Trebuchet MS"/>
        </w:rPr>
        <w:t xml:space="preserve">Museums ought to be key stakeholders in its development, and participate as active partners in its delivery. </w:t>
      </w:r>
    </w:p>
    <w:p w:rsidR="00DE18BA" w:rsidRPr="00D6051D" w:rsidRDefault="00DE18BA" w:rsidP="00DE18BA">
      <w:pPr>
        <w:pStyle w:val="ListParagraph"/>
        <w:numPr>
          <w:ilvl w:val="0"/>
          <w:numId w:val="1"/>
        </w:numPr>
        <w:spacing w:line="360" w:lineRule="auto"/>
        <w:rPr>
          <w:rFonts w:ascii="Trebuchet MS" w:hAnsi="Trebuchet MS"/>
        </w:rPr>
      </w:pPr>
      <w:r w:rsidRPr="00D6051D">
        <w:rPr>
          <w:rFonts w:ascii="Trebuchet MS" w:hAnsi="Trebuchet MS"/>
        </w:rPr>
        <w:t xml:space="preserve">Sector support bodies ought to work collaboratively on a pan-UK basis, to pull together and collectively publicise evidence of social and economic impacts which can help museums to make the case for national and local public funding. </w:t>
      </w:r>
    </w:p>
    <w:p w:rsidR="00DE18BA" w:rsidRPr="00D6051D" w:rsidRDefault="00DE18BA" w:rsidP="00DE18BA">
      <w:pPr>
        <w:pStyle w:val="ListParagraph"/>
        <w:numPr>
          <w:ilvl w:val="0"/>
          <w:numId w:val="1"/>
        </w:numPr>
        <w:spacing w:line="360" w:lineRule="auto"/>
        <w:rPr>
          <w:rFonts w:ascii="Trebuchet MS" w:hAnsi="Trebuchet MS"/>
        </w:rPr>
      </w:pPr>
      <w:r w:rsidRPr="00D6051D">
        <w:rPr>
          <w:rFonts w:ascii="Trebuchet MS" w:hAnsi="Trebuchet MS"/>
        </w:rPr>
        <w:t>Government, strategic agencies and funders should work with museums to maximise their assets – both buildings and collections - more creatively. To enable an increasingly strategic approach and in order to address concerns around sustainability, Lottery applicants should be encouraged to pursue a long-term relationship with the funder, so working collaboratively to anticipate lifetime costs of their museum buildings and essential facilities.</w:t>
      </w:r>
    </w:p>
    <w:p w:rsidR="00DE18BA" w:rsidRPr="00D6051D" w:rsidRDefault="00DE18BA" w:rsidP="00DE18BA">
      <w:pPr>
        <w:pStyle w:val="ListParagraph"/>
        <w:numPr>
          <w:ilvl w:val="0"/>
          <w:numId w:val="1"/>
        </w:numPr>
        <w:spacing w:line="360" w:lineRule="auto"/>
        <w:rPr>
          <w:rFonts w:ascii="Trebuchet MS" w:hAnsi="Trebuchet MS"/>
        </w:rPr>
      </w:pPr>
      <w:r w:rsidRPr="00D6051D">
        <w:rPr>
          <w:rFonts w:ascii="Trebuchet MS" w:hAnsi="Trebuchet MS"/>
        </w:rPr>
        <w:t>The historic buildings that house many museums often play a crucial role in creating sense of place, local identity and community pride. Strong advocacy is required to ensure the potential of these assets is also recognised in terms of economic development and that museums feature in developing City Deal proposals and/ or smaller scale local business investment partnerships.</w:t>
      </w:r>
    </w:p>
    <w:p w:rsidR="00DE18BA" w:rsidRPr="00D6051D" w:rsidRDefault="00DE18BA" w:rsidP="00DE18BA">
      <w:pPr>
        <w:pStyle w:val="NormalWeb"/>
        <w:numPr>
          <w:ilvl w:val="0"/>
          <w:numId w:val="1"/>
        </w:numPr>
        <w:spacing w:line="360" w:lineRule="auto"/>
        <w:rPr>
          <w:rFonts w:ascii="Trebuchet MS" w:hAnsi="Trebuchet MS"/>
          <w:sz w:val="24"/>
          <w:szCs w:val="24"/>
        </w:rPr>
      </w:pPr>
      <w:r w:rsidRPr="00D6051D">
        <w:rPr>
          <w:rFonts w:ascii="Trebuchet MS" w:hAnsi="Trebuchet MS"/>
          <w:sz w:val="24"/>
          <w:szCs w:val="24"/>
        </w:rPr>
        <w:t>Many museums are aware of the need to innovate and secure new sources of income while maintaining and developing their role as public institutions, though for local authority services in particular, this can be challenging culturally. Those which have succeeded in adopting a more commercial and flexible approach ought to be highlighted and mechanisms developed so that good practice can be shared and instituted more widely.</w:t>
      </w:r>
    </w:p>
    <w:p w:rsidR="00DE18BA" w:rsidRPr="00D6051D" w:rsidRDefault="00DE18BA" w:rsidP="00DE18BA">
      <w:pPr>
        <w:numPr>
          <w:ilvl w:val="0"/>
          <w:numId w:val="1"/>
        </w:numPr>
        <w:spacing w:before="100" w:beforeAutospacing="1" w:after="100" w:afterAutospacing="1" w:line="360" w:lineRule="auto"/>
        <w:rPr>
          <w:rFonts w:ascii="Trebuchet MS" w:hAnsi="Trebuchet MS"/>
        </w:rPr>
      </w:pPr>
      <w:r w:rsidRPr="00D6051D">
        <w:rPr>
          <w:rFonts w:ascii="Trebuchet MS" w:hAnsi="Trebuchet MS"/>
        </w:rPr>
        <w:lastRenderedPageBreak/>
        <w:t xml:space="preserve">Museums have a strong track record of contributing to programmes that improve wellbeing and quality of life and which provide inclusive learning opportunities; though the sector is generally less good at demonstrating the scope and full impacts of such work. Government, strategic agencies and museums need to work together more effectively to raise awareness of museum resources amongst other sectors and encourage partnership working at a local and national level on specific programmes and projects. </w:t>
      </w:r>
    </w:p>
    <w:p w:rsidR="00DE18BA" w:rsidRPr="00D6051D" w:rsidRDefault="00DE18BA" w:rsidP="00DE18BA">
      <w:pPr>
        <w:numPr>
          <w:ilvl w:val="0"/>
          <w:numId w:val="1"/>
        </w:numPr>
        <w:spacing w:before="100" w:beforeAutospacing="1" w:after="100" w:afterAutospacing="1" w:line="360" w:lineRule="auto"/>
        <w:rPr>
          <w:rFonts w:ascii="Trebuchet MS" w:hAnsi="Trebuchet MS"/>
        </w:rPr>
      </w:pPr>
      <w:r w:rsidRPr="00D6051D">
        <w:rPr>
          <w:rFonts w:ascii="Trebuchet MS" w:hAnsi="Trebuchet MS"/>
        </w:rPr>
        <w:t>All means of encouraging philanthropic giving in the sector ought to be strengthened, whether through further development of tax incentives, legislative change or skills development.</w:t>
      </w:r>
    </w:p>
    <w:p w:rsidR="00867C2A" w:rsidRPr="00867C2A" w:rsidRDefault="00867C2A" w:rsidP="00867C2A">
      <w:pPr>
        <w:pStyle w:val="ListParagraph"/>
        <w:numPr>
          <w:ilvl w:val="0"/>
          <w:numId w:val="1"/>
        </w:numPr>
        <w:spacing w:before="100" w:beforeAutospacing="1" w:after="100" w:afterAutospacing="1" w:line="360" w:lineRule="auto"/>
        <w:rPr>
          <w:rFonts w:ascii="Trebuchet MS" w:hAnsi="Trebuchet MS"/>
        </w:rPr>
      </w:pPr>
      <w:r w:rsidRPr="00867C2A">
        <w:rPr>
          <w:rFonts w:ascii="Trebuchet MS" w:hAnsi="Trebuchet MS"/>
        </w:rPr>
        <w:t xml:space="preserve">Investment in the development of a new cultural skills framework, focussing on areas </w:t>
      </w:r>
      <w:r w:rsidRPr="00867C2A">
        <w:rPr>
          <w:rFonts w:ascii="Trebuchet MS" w:hAnsi="Trebuchet MS"/>
          <w:bCs/>
        </w:rPr>
        <w:t xml:space="preserve">beyond and in support of </w:t>
      </w:r>
      <w:r w:rsidRPr="00867C2A">
        <w:rPr>
          <w:rFonts w:ascii="Trebuchet MS" w:hAnsi="Trebuchet MS"/>
        </w:rPr>
        <w:t>core museum specialisms, is essential to ensure sector flexibility, diversity and sustainability.</w:t>
      </w:r>
    </w:p>
    <w:p w:rsidR="00516001" w:rsidRPr="00D6051D" w:rsidRDefault="00516001" w:rsidP="00867C2A">
      <w:pPr>
        <w:spacing w:before="100" w:beforeAutospacing="1" w:after="100" w:afterAutospacing="1" w:line="360" w:lineRule="auto"/>
        <w:ind w:left="720"/>
        <w:rPr>
          <w:rFonts w:ascii="Trebuchet MS" w:hAnsi="Trebuchet MS"/>
        </w:rPr>
      </w:pPr>
    </w:p>
    <w:sectPr w:rsidR="00516001" w:rsidRPr="00D6051D" w:rsidSect="00516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8FE"/>
    <w:multiLevelType w:val="hybridMultilevel"/>
    <w:tmpl w:val="2ECE18E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BA"/>
    <w:rsid w:val="000F1C1C"/>
    <w:rsid w:val="002A39E9"/>
    <w:rsid w:val="00327FFD"/>
    <w:rsid w:val="00450E6B"/>
    <w:rsid w:val="00516001"/>
    <w:rsid w:val="00734894"/>
    <w:rsid w:val="00867C2A"/>
    <w:rsid w:val="00A81236"/>
    <w:rsid w:val="00B36615"/>
    <w:rsid w:val="00BB7F32"/>
    <w:rsid w:val="00D6051D"/>
    <w:rsid w:val="00DE18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B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BA"/>
    <w:pPr>
      <w:ind w:left="720"/>
      <w:contextualSpacing/>
    </w:pPr>
  </w:style>
  <w:style w:type="paragraph" w:styleId="NormalWeb">
    <w:name w:val="Normal (Web)"/>
    <w:basedOn w:val="Normal"/>
    <w:uiPriority w:val="99"/>
    <w:unhideWhenUsed/>
    <w:rsid w:val="00DE18B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B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BA"/>
    <w:pPr>
      <w:ind w:left="720"/>
      <w:contextualSpacing/>
    </w:pPr>
  </w:style>
  <w:style w:type="paragraph" w:styleId="NormalWeb">
    <w:name w:val="Normal (Web)"/>
    <w:basedOn w:val="Normal"/>
    <w:uiPriority w:val="99"/>
    <w:unhideWhenUsed/>
    <w:rsid w:val="00DE18B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Company>City of Edinburgh Council</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Findlay</dc:creator>
  <cp:lastModifiedBy>Patrick Steel</cp:lastModifiedBy>
  <cp:revision>3</cp:revision>
  <dcterms:created xsi:type="dcterms:W3CDTF">2017-04-21T15:46:00Z</dcterms:created>
  <dcterms:modified xsi:type="dcterms:W3CDTF">2017-04-24T12:47:00Z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265375414</vt:i4>
  </property>
  <property fmtid="{D5CDD505-2E9C-101B-9397-08002B2CF9AE}" pid="3" name="_NewReviewCycle">
    <vt:lpwstr/>
  </property>
  <property fmtid="{D5CDD505-2E9C-101B-9397-08002B2CF9AE}" pid="4" name="_EmailSubject">
    <vt:lpwstr>Funding statement</vt:lpwstr>
  </property>
  <property fmtid="{D5CDD505-2E9C-101B-9397-08002B2CF9AE}" pid="5" name="_AuthorEmail">
    <vt:lpwstr>G.Findlay@edinburgh.gov.uk</vt:lpwstr>
  </property>
  <property fmtid="{D5CDD505-2E9C-101B-9397-08002B2CF9AE}" pid="6" name="_AuthorEmailDisplayName">
    <vt:lpwstr>Gillian Findlay</vt:lpwstr>
  </property>
  <property fmtid="{D5CDD505-2E9C-101B-9397-08002B2CF9AE}" pid="7" name="_PreviousAdHocReviewCycleID">
    <vt:i4>1421853872</vt:i4>
  </property>
  <property fmtid="{D5CDD505-2E9C-101B-9397-08002B2CF9AE}" pid="8" name="_ReviewingToolsShownOnce">
    <vt:lpwstr/>
  </property>
</Properties>
</file>